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3F" w:rsidRPr="00B76711" w:rsidRDefault="00B66F3F" w:rsidP="00B76711">
      <w:pPr>
        <w:pStyle w:val="2"/>
        <w:shd w:val="clear" w:color="auto" w:fill="auto"/>
        <w:tabs>
          <w:tab w:val="left" w:pos="4962"/>
          <w:tab w:val="left" w:pos="5103"/>
        </w:tabs>
        <w:spacing w:after="300" w:line="240" w:lineRule="exact"/>
        <w:ind w:right="340"/>
        <w:jc w:val="right"/>
        <w:rPr>
          <w:sz w:val="24"/>
          <w:szCs w:val="24"/>
        </w:rPr>
      </w:pPr>
      <w:r w:rsidRPr="00B76711">
        <w:rPr>
          <w:sz w:val="24"/>
          <w:szCs w:val="24"/>
        </w:rPr>
        <w:t>Приложение</w:t>
      </w:r>
    </w:p>
    <w:p w:rsidR="00B66F3F" w:rsidRPr="00B76711" w:rsidRDefault="00B66F3F" w:rsidP="00B76711">
      <w:pPr>
        <w:pStyle w:val="2"/>
        <w:shd w:val="clear" w:color="auto" w:fill="auto"/>
        <w:tabs>
          <w:tab w:val="left" w:pos="4962"/>
          <w:tab w:val="left" w:pos="5103"/>
          <w:tab w:val="right" w:pos="8793"/>
          <w:tab w:val="left" w:leader="underscore" w:pos="9297"/>
        </w:tabs>
        <w:spacing w:line="324" w:lineRule="exact"/>
        <w:ind w:left="5602" w:right="340" w:firstLine="998"/>
        <w:jc w:val="left"/>
        <w:rPr>
          <w:sz w:val="24"/>
          <w:szCs w:val="24"/>
        </w:rPr>
      </w:pPr>
      <w:r w:rsidRPr="00B76711">
        <w:rPr>
          <w:sz w:val="24"/>
          <w:szCs w:val="24"/>
        </w:rPr>
        <w:t xml:space="preserve">УТВЕРЖДЕН </w:t>
      </w:r>
    </w:p>
    <w:p w:rsidR="00B66F3F" w:rsidRPr="00B76711" w:rsidRDefault="00B66F3F" w:rsidP="00B76711">
      <w:pPr>
        <w:pStyle w:val="2"/>
        <w:shd w:val="clear" w:color="auto" w:fill="auto"/>
        <w:tabs>
          <w:tab w:val="left" w:pos="4962"/>
          <w:tab w:val="left" w:pos="5103"/>
          <w:tab w:val="right" w:pos="8793"/>
          <w:tab w:val="left" w:leader="underscore" w:pos="9297"/>
        </w:tabs>
        <w:spacing w:after="651" w:line="324" w:lineRule="exact"/>
        <w:ind w:left="5600" w:right="340"/>
        <w:jc w:val="left"/>
        <w:rPr>
          <w:sz w:val="24"/>
          <w:szCs w:val="24"/>
        </w:rPr>
      </w:pPr>
      <w:r w:rsidRPr="00B76711">
        <w:rPr>
          <w:sz w:val="24"/>
          <w:szCs w:val="24"/>
        </w:rPr>
        <w:t>приказом Федеральной службы по надзору в сфере образования и на</w:t>
      </w:r>
      <w:r>
        <w:rPr>
          <w:sz w:val="24"/>
          <w:szCs w:val="24"/>
        </w:rPr>
        <w:t xml:space="preserve">уки от_________________ </w:t>
      </w:r>
      <w:r w:rsidRPr="00B76711">
        <w:rPr>
          <w:sz w:val="24"/>
          <w:szCs w:val="24"/>
        </w:rPr>
        <w:t>№</w:t>
      </w:r>
      <w:r>
        <w:rPr>
          <w:sz w:val="24"/>
          <w:szCs w:val="24"/>
        </w:rPr>
        <w:t xml:space="preserve"> _______</w:t>
      </w:r>
    </w:p>
    <w:p w:rsidR="00B66F3F" w:rsidRDefault="00B66F3F" w:rsidP="00664866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хранения аккредитационных дел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организаций, осуществляющих образовательную деятельность, </w:t>
      </w:r>
      <w:r>
        <w:rPr>
          <w:rFonts w:ascii="Times New Roman" w:hAnsi="Times New Roman" w:cs="Times New Roman"/>
          <w:b/>
          <w:sz w:val="28"/>
          <w:szCs w:val="28"/>
        </w:rPr>
        <w:t>в Федеральной службе по надзору в сфере образования и науки</w:t>
      </w:r>
    </w:p>
    <w:p w:rsidR="00B66F3F" w:rsidRDefault="00B66F3F" w:rsidP="00B7671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B66F3F" w:rsidRPr="00B76711" w:rsidRDefault="00B66F3F" w:rsidP="00B7671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1. Настоящий Порядок определяет правила хранения аккредитационных дел организаций, осуществляющих образовательную деятельность, государственная аккредитация образовательной деятельности которых осуществляется Федеральной службой по надзору в сфере образования и науки (далее </w:t>
      </w:r>
      <w:r w:rsidRPr="00B76711">
        <w:rPr>
          <w:rStyle w:val="1"/>
          <w:sz w:val="28"/>
          <w:szCs w:val="28"/>
        </w:rPr>
        <w:t xml:space="preserve">- </w:t>
      </w:r>
      <w:r w:rsidRPr="00B76711">
        <w:rPr>
          <w:sz w:val="28"/>
          <w:szCs w:val="28"/>
        </w:rPr>
        <w:t>Рособрнадзор).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Аккредитационное дело организации, осуществляющей образовательную деятельность, составляется сотрудниками структурного подразделения Рособрнадзора, к полномочиям которого относятся вопросы предоставления государственной услуги по государственной аккредитации образовательной деятельности (далее </w:t>
      </w:r>
      <w:r w:rsidRPr="00B76711">
        <w:rPr>
          <w:rStyle w:val="1"/>
          <w:sz w:val="28"/>
          <w:szCs w:val="28"/>
        </w:rPr>
        <w:t xml:space="preserve">- </w:t>
      </w:r>
      <w:r w:rsidRPr="00B76711">
        <w:rPr>
          <w:sz w:val="28"/>
          <w:szCs w:val="28"/>
        </w:rPr>
        <w:t>уполномоченное подразделение), после принятия заявления о проведении государственной аккредитации и прилагаемых к нему документов к рассмотрению по существу и подлежит хранению в соответствии с положениями настоящего Порядка.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Аккредитационное дело формируется на бумажном носителе в папке </w:t>
      </w:r>
      <w:r w:rsidRPr="00B76711">
        <w:rPr>
          <w:rStyle w:val="0pt"/>
          <w:sz w:val="28"/>
          <w:szCs w:val="28"/>
        </w:rPr>
        <w:t xml:space="preserve">(скоросшивателе), на </w:t>
      </w:r>
      <w:r w:rsidRPr="00B76711">
        <w:rPr>
          <w:sz w:val="28"/>
          <w:szCs w:val="28"/>
        </w:rPr>
        <w:t>лицевой стороне обложки и торце которой проставляются реквизиты аккредитационного дела (регистрационный номер, дата составления, являющаяся датой регистрации аккредитационного дела и наименование организации, осуществляющей образовательную деятельность).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Аккредитационное дело формируется в виде электронного документа, подписанного электронной подписью в соответствии с Федеральным законом «Об электронной подписи», если оно составляется из электронных документов, поступивших в Рособрнадзор с использованием информационно</w:t>
      </w:r>
      <w:r w:rsidRPr="00B76711">
        <w:rPr>
          <w:sz w:val="28"/>
          <w:szCs w:val="28"/>
        </w:rPr>
        <w:softHyphen/>
        <w:t>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 (функций)».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Для учета аккредитационных дел сотрудниками уполномоченного подразделения ведется перечень аккредитационных дел в электронном и бумажном видах, в который вносится регистрационный номер и дата регистрации аккредитационного дела.</w:t>
      </w:r>
      <w:r>
        <w:rPr>
          <w:sz w:val="28"/>
          <w:szCs w:val="28"/>
        </w:rPr>
        <w:t xml:space="preserve"> В бумажном виде аккредитационное дело регистрируется в журнале регистрации аккредитационных дел. В электронном виде аккредитационное дело регистрируется в специальной программе Рособрнадзора.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Для проведе</w:t>
      </w:r>
      <w:r>
        <w:rPr>
          <w:sz w:val="28"/>
          <w:szCs w:val="28"/>
        </w:rPr>
        <w:t>ния аккредитационной экспертизы</w:t>
      </w:r>
      <w:r w:rsidRPr="00B76711">
        <w:rPr>
          <w:sz w:val="28"/>
          <w:szCs w:val="28"/>
        </w:rPr>
        <w:t xml:space="preserve"> аккредитационное дело передается Рособрнадзором на временное хранение подведомственному</w:t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>учреждению, осуществляющему организационно-техническое и информационно-аналитическое обеспечение проведения государственной аккредитации образовательной деятельности (далее подведомственное учреждение). Аккредитационное дело, передаваемое на временное хранение подведомственному учреждению, включает в себя: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заявление организации, осуществляющей образовательную деятельность, о проведении государственной аккредитации и прилагаемые к нему документы;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опись документов, включенных в состав аккредитационного дела.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В процессе временного хранения сотрудники подведомственного учреждения дополняют аккредитационное дело следующими документами, сформированными в процессе проведения процедуры государственной аккредитации образовательной деятельности: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распорядительным актом Рособрнадзора о проведении аккредитационной экспертизы;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отчетами об аккредитационной экспертизе и заключением экспертной группы;</w:t>
      </w:r>
    </w:p>
    <w:p w:rsidR="00B66F3F" w:rsidRPr="00B76711" w:rsidRDefault="00B66F3F" w:rsidP="00B7671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6711">
        <w:rPr>
          <w:sz w:val="28"/>
          <w:szCs w:val="28"/>
        </w:rPr>
        <w:t>распорядительными актами Рособрнадзора о государственной аккредитации или об отказе в государственной аккредитации, о переоформлении свидетельства о государственной аккредитации, о предоставлении дубликата свидетельства о государственной аккредитации, о приостановлении, возобновлении, прекращении, лишении государственной аккредитации;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копией свидетельства о государственной аккредитации (временного свидетельства, дубликата свидетельства) с приложениями;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описью документов, дополняющих аккредитационное дело.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Сформированное аккредитационное дело передается подведомственным учреждением на хранение в Рособрнадзор в течение 20 рабочих дней со дня выдачи свидетельства о государственной аккредитации. Дальнейшее хранение аккредитационных дел обеспечивается </w:t>
      </w:r>
      <w:r w:rsidRPr="00B76711">
        <w:rPr>
          <w:rStyle w:val="0pt"/>
          <w:sz w:val="28"/>
          <w:szCs w:val="28"/>
        </w:rPr>
        <w:t xml:space="preserve">уполномоченным </w:t>
      </w:r>
      <w:r w:rsidRPr="00B76711">
        <w:rPr>
          <w:sz w:val="28"/>
          <w:szCs w:val="28"/>
        </w:rPr>
        <w:t>подразделением.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На обложке аккредитационного дела сотрудником Рособрнадзора, ответственным за хранение аккредитационных дел, проставляется срок хранения аккредитационного дела (5 лет с даты окончания срока действия свидетельства о государственной аккредитации).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В случае изменения наименования организации, осуществляющей образовательную деятельность, (или ее реорганизации) сотрудни</w:t>
      </w:r>
      <w:r>
        <w:rPr>
          <w:sz w:val="28"/>
          <w:szCs w:val="28"/>
        </w:rPr>
        <w:t>к уполномоченного подразделения</w:t>
      </w:r>
      <w:r w:rsidRPr="00B76711">
        <w:rPr>
          <w:sz w:val="28"/>
          <w:szCs w:val="28"/>
        </w:rPr>
        <w:t xml:space="preserve"> дополняет аккредитационное дело документами организации, осуществляющей образовательную деятельность, подтверждающими изменение ее наименования (или документами реорганизованной организации, осуществляющей образовательную деятельность) и вносит соответствующие изменения в реквизиты аккредитационного дела.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Аккредитационные дела хранятся в Рособрнадзоре в специально оборудованном архивном помещении, позволяющем обеспечить их сохранность, или в архиве электронных документов. Сотрудник уполномоченного подразделения, ответственного за хранение аккредитационных дел, осуществляет систематизированное размещение аккредитационных дел, ведет перечень аккредитационных дел, находящихся на хранении в Рособрнадзоре, и журнал движения аккредитационных дел в бумажном и электронном виде.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В перечне аккредитационных дел, находящихся на хранении, указываются: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>порядковый номер;</w:t>
      </w:r>
    </w:p>
    <w:p w:rsidR="00B66F3F" w:rsidRPr="00B76711" w:rsidRDefault="00B66F3F" w:rsidP="00B7671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6711">
        <w:rPr>
          <w:sz w:val="28"/>
          <w:szCs w:val="28"/>
        </w:rPr>
        <w:t>наименование организации, осуществляющей образовательную деятельность;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>регистрационный номер аккредитационного дела;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>дата регистрации аккредитационного дела;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>дата передачи аккредитационного дела на хранение в Рособрнадзор;</w:t>
      </w:r>
    </w:p>
    <w:p w:rsidR="00B66F3F" w:rsidRPr="00B76711" w:rsidRDefault="00B66F3F" w:rsidP="00784A7F">
      <w:pPr>
        <w:pStyle w:val="2"/>
        <w:shd w:val="clear" w:color="auto" w:fill="auto"/>
        <w:tabs>
          <w:tab w:val="center" w:pos="6370"/>
          <w:tab w:val="center" w:pos="7558"/>
          <w:tab w:val="right" w:pos="96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6711">
        <w:rPr>
          <w:sz w:val="28"/>
          <w:szCs w:val="28"/>
        </w:rPr>
        <w:t>фамилия, имя, отчество, должность и п</w:t>
      </w:r>
      <w:r>
        <w:rPr>
          <w:sz w:val="28"/>
          <w:szCs w:val="28"/>
        </w:rPr>
        <w:t xml:space="preserve">одпись работника Рособрнадзора, </w:t>
      </w:r>
      <w:r w:rsidRPr="00B76711">
        <w:rPr>
          <w:sz w:val="28"/>
          <w:szCs w:val="28"/>
        </w:rPr>
        <w:t>сформиро</w:t>
      </w:r>
      <w:r>
        <w:rPr>
          <w:sz w:val="28"/>
          <w:szCs w:val="28"/>
        </w:rPr>
        <w:t xml:space="preserve">вавшего аккредитационное дело и передавшего </w:t>
      </w:r>
      <w:r w:rsidRPr="00B76711">
        <w:rPr>
          <w:sz w:val="28"/>
          <w:szCs w:val="28"/>
        </w:rPr>
        <w:t>его в</w:t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>подведомственное учреждение для временного хранения;</w:t>
      </w:r>
    </w:p>
    <w:p w:rsidR="00B66F3F" w:rsidRPr="00B76711" w:rsidRDefault="00B66F3F" w:rsidP="00784A7F">
      <w:pPr>
        <w:pStyle w:val="2"/>
        <w:shd w:val="clear" w:color="auto" w:fill="auto"/>
        <w:tabs>
          <w:tab w:val="right" w:pos="6307"/>
          <w:tab w:val="left" w:pos="6515"/>
          <w:tab w:val="center" w:pos="7567"/>
          <w:tab w:val="right" w:pos="96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отчество, должность </w:t>
      </w:r>
      <w:r w:rsidRPr="00B76711">
        <w:rPr>
          <w:sz w:val="28"/>
          <w:szCs w:val="28"/>
        </w:rPr>
        <w:t>и</w:t>
      </w:r>
      <w:r w:rsidRPr="00B7671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>подпись</w:t>
      </w:r>
      <w:r w:rsidRPr="00B76711">
        <w:rPr>
          <w:sz w:val="28"/>
          <w:szCs w:val="28"/>
        </w:rPr>
        <w:tab/>
        <w:t>работника</w:t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>подведомственного учреждения, принявшего аккредитационное дело для временного хранения;</w:t>
      </w:r>
    </w:p>
    <w:p w:rsidR="00B66F3F" w:rsidRPr="00B76711" w:rsidRDefault="00B66F3F" w:rsidP="00784A7F">
      <w:pPr>
        <w:pStyle w:val="2"/>
        <w:shd w:val="clear" w:color="auto" w:fill="auto"/>
        <w:tabs>
          <w:tab w:val="right" w:pos="6307"/>
          <w:tab w:val="left" w:pos="6515"/>
          <w:tab w:val="center" w:pos="7567"/>
          <w:tab w:val="right" w:pos="96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отчество, должность </w:t>
      </w:r>
      <w:r w:rsidRPr="00B767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ab/>
        <w:t>подпись</w:t>
      </w:r>
      <w:r w:rsidRPr="00B76711">
        <w:rPr>
          <w:sz w:val="28"/>
          <w:szCs w:val="28"/>
        </w:rPr>
        <w:tab/>
        <w:t>работника</w:t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>подведомственного учреждения, передавшего аккредитационное дело на хранение в Рособрнадзор;</w:t>
      </w:r>
    </w:p>
    <w:p w:rsidR="00B66F3F" w:rsidRPr="00B76711" w:rsidRDefault="00B66F3F" w:rsidP="00B204D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6711">
        <w:rPr>
          <w:sz w:val="28"/>
          <w:szCs w:val="28"/>
        </w:rPr>
        <w:t>фамилия, имя, отчество, должность и подпись работника уполномоченного подразделения, принявшего аккредитационное дело на хранение;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срок хранения аккредитационного дела.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Аккредитационное дело выдается: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руководству Рособрнадзора;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работникам уполномоченного подразделения;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уполномоченным работникам структурного подразделения Рособрнадзора, на которое возложено выполнение функции по контролю и надзору за образовательными организациями;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уполномоченным работникам структурного подразделения Рособрнадзора, на которое возложено выполнение функции по правовому обеспечению деятельности Рособрнадзора;</w:t>
      </w:r>
    </w:p>
    <w:p w:rsidR="00B66F3F" w:rsidRPr="00AD7E3E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7E3E">
        <w:rPr>
          <w:sz w:val="28"/>
          <w:szCs w:val="28"/>
        </w:rPr>
        <w:t>уполномоченным работникам подведомственного учреждения;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должностным лицам иных федеральных органов государственной власти в соответствии с законодательством Российской Федерации.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В журнале движения аккредитационных дел указываются: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порядковый номер;</w:t>
      </w:r>
    </w:p>
    <w:p w:rsidR="00B66F3F" w:rsidRPr="00B76711" w:rsidRDefault="00B66F3F" w:rsidP="00B7671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6711">
        <w:rPr>
          <w:sz w:val="28"/>
          <w:szCs w:val="28"/>
        </w:rPr>
        <w:t>наименование организации, осуществляющей образовательную деятельность;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действие, совершаемое с аккредитационным делом (передача на хранение, выдача (основание выдачи), возврат на хранение), и дата его совершения;</w:t>
      </w:r>
    </w:p>
    <w:p w:rsidR="00B66F3F" w:rsidRPr="00B76711" w:rsidRDefault="00B66F3F" w:rsidP="00B76711">
      <w:pPr>
        <w:pStyle w:val="2"/>
        <w:numPr>
          <w:ilvl w:val="0"/>
          <w:numId w:val="2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фамилия, имя, отчество, должность и подпись лица, передающего аккредитационное дело на хранение, получающего или возвращающего аккредитационное дело;</w:t>
      </w:r>
    </w:p>
    <w:p w:rsidR="00B66F3F" w:rsidRPr="00B76711" w:rsidRDefault="00B66F3F" w:rsidP="00B7671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>- фамилия, имя, отчество, должность и подпись работника, ответственного за хранение аккредитационных дел.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</w:t>
      </w:r>
      <w:r w:rsidRPr="00AD7E3E">
        <w:rPr>
          <w:sz w:val="28"/>
          <w:szCs w:val="28"/>
        </w:rPr>
        <w:t>Аккредитационное дело выдается во временное пользование работникам Рособрнадзора</w:t>
      </w:r>
      <w:r w:rsidRPr="00B76711">
        <w:rPr>
          <w:sz w:val="28"/>
          <w:szCs w:val="28"/>
        </w:rPr>
        <w:t>, указанным в пункте 13 настоящего Порядка, на срок не более одного месяца.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Аккредитационные дела</w:t>
      </w:r>
      <w:bookmarkStart w:id="0" w:name="_GoBack"/>
      <w:bookmarkEnd w:id="0"/>
      <w:r w:rsidRPr="00B76711">
        <w:rPr>
          <w:sz w:val="28"/>
          <w:szCs w:val="28"/>
        </w:rPr>
        <w:t xml:space="preserve"> предоставляются для ознакомления по месту нахождения Рособрнадзора представителям правоохранительных и других государственных органов Российской Федерации, имеющих в соответствии с законодательством Российской Федерации право требовать предоставления данных документов, на основании письменных запросов указанных государственных органов.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В случае принятия решения об отказе в государственной аккредитации, об аннулировании свидетельства о государственной организации, о прекращении действия свидетельства о государственной аккредитации аккредитационное дело хранится в архиве Рособрнадзора в течение 5 лет со дня издания соответствующего распорядительного акта Рособрнадзора.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В случае отзыва организацией, осуществляющей образовательную деятельность, заявления о проведении государственной аккредитации на любом этапе государственной аккредитации образовательной деятельности до принятия решения аккредитационным органом аккредитационное дело хранится в архиве Рособрнадзора в течение 5 лет со дня отзыва заявления и прилагаемых к нему документов.</w:t>
      </w:r>
    </w:p>
    <w:p w:rsidR="00B66F3F" w:rsidRPr="00B76711" w:rsidRDefault="00B66F3F" w:rsidP="00B76711">
      <w:pPr>
        <w:pStyle w:val="2"/>
        <w:numPr>
          <w:ilvl w:val="0"/>
          <w:numId w:val="1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6711">
        <w:rPr>
          <w:sz w:val="28"/>
          <w:szCs w:val="28"/>
        </w:rPr>
        <w:t xml:space="preserve"> По истечении сроков хранения, указанных в пунктах 9, 17, 18 настоящего Порядка, аккредитационное дело подлежит уничтожению в соответствии с Правилами делопроизводства в федеральных органах исполнительной власти, утвержденными Постановлением Правительства Российской Федерации от 15.06.2009 №</w:t>
      </w:r>
      <w:r>
        <w:rPr>
          <w:sz w:val="28"/>
          <w:szCs w:val="28"/>
        </w:rPr>
        <w:t xml:space="preserve"> </w:t>
      </w:r>
      <w:r w:rsidRPr="00B76711">
        <w:rPr>
          <w:sz w:val="28"/>
          <w:szCs w:val="28"/>
        </w:rPr>
        <w:t>477.</w:t>
      </w:r>
    </w:p>
    <w:p w:rsidR="00B66F3F" w:rsidRDefault="00B66F3F"/>
    <w:sectPr w:rsidR="00B66F3F" w:rsidSect="00B76711">
      <w:headerReference w:type="default" r:id="rId7"/>
      <w:headerReference w:type="first" r:id="rId8"/>
      <w:pgSz w:w="11909" w:h="16838"/>
      <w:pgMar w:top="1405" w:right="994" w:bottom="1016" w:left="1120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3F" w:rsidRDefault="00B66F3F">
      <w:r>
        <w:separator/>
      </w:r>
    </w:p>
  </w:endnote>
  <w:endnote w:type="continuationSeparator" w:id="1">
    <w:p w:rsidR="00B66F3F" w:rsidRDefault="00B6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3F" w:rsidRDefault="00B66F3F">
      <w:r>
        <w:separator/>
      </w:r>
    </w:p>
  </w:footnote>
  <w:footnote w:type="continuationSeparator" w:id="1">
    <w:p w:rsidR="00B66F3F" w:rsidRDefault="00B66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3F" w:rsidRDefault="00B66F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294.65pt;margin-top:49.85pt;width:4.8pt;height:9.7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JVtAIAAKU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ARJy20aP9t/3P/Y/8dBaY6facScLrtwE0P12KALlumqrsRxSeFuFjVhG/plZSi&#10;rykpITvf3HRPro44yoBs+jeihDDkTgsLNFSyNaWDYiBAhy7dHztDB40K2Jx78RwOCjjxg/MomNkA&#10;JJnudlLpV1S0yBgpltB3i012N0qbXEgyuZhQXOSsaWzvG/5oAxzHHYgMV82ZycG28kvsxetoHYVO&#10;GMzXTuhlmXOVr0JnnvsXs+w8W60y/6uJ64dJzcqSchNmkpUf/lnbDgIfBXEUlhINKw2cSUnJ7WbV&#10;SLQjIOvcfoeCnLi5j9OwRQAuTyj5QehdB7GTz6MLJ8zDmRNfeJHj+fE1lDyMwyx/TOmGcfrvlFCf&#10;4ngGfbR0fsvNs99zbiRpmYbB0bA2xdHRiSRGgGte2tZqwprRPimFSf+hFNDuqdFWrkaho1b1sBkA&#10;xWh4I8p7EK4UoCwQIUw7MGohP2PUw+RIMYfRhlHzmoP0zZCZDDkZm8kgvICLKdYYjeZKj8PorpNs&#10;WwPu9Liu4HnkzGr3IYfDo4JZYCkc5pYZNqf/1uthui5/AQAA//8DAFBLAwQUAAYACAAAACEAwX2p&#10;190AAAAKAQAADwAAAGRycy9kb3ducmV2LnhtbEyPwU7DMBBE70j8g7VI3KjTotI4jVOhSly4USok&#10;bm68jaPa68h20+TvMSc4ruZp5m29m5xlI4bYe5KwXBTAkFqve+okHD/fnkpgMSnSynpCCTNG2DX3&#10;d7WqtL/RB46H1LFcQrFSEkxKQ8V5bA06FRd+QMrZ2QenUj5Dx3VQt1zuLF8VxQt3qqe8YNSAe4Pt&#10;5XB1EjbTl8ch4h6/z2MbTD+X9n2W8vFhet0CSzilPxh+9bM6NNnp5K+kI7MS1qV4zqgEITbAMrAW&#10;pQB2yuRSrIA3Nf//QvMDAAD//wMAUEsBAi0AFAAGAAgAAAAhALaDOJL+AAAA4QEAABMAAAAAAAAA&#10;AAAAAAAAAAAAAFtDb250ZW50X1R5cGVzXS54bWxQSwECLQAUAAYACAAAACEAOP0h/9YAAACUAQAA&#10;CwAAAAAAAAAAAAAAAAAvAQAAX3JlbHMvLnJlbHNQSwECLQAUAAYACAAAACEAEA7yVbQCAAClBQAA&#10;DgAAAAAAAAAAAAAAAAAuAgAAZHJzL2Uyb0RvYy54bWxQSwECLQAUAAYACAAAACEAwX2p190AAAAK&#10;AQAADwAAAAAAAAAAAAAAAAAOBQAAZHJzL2Rvd25yZXYueG1sUEsFBgAAAAAEAAQA8wAAABgGAAAA&#10;AA==&#10;" filled="f" stroked="f">
          <v:textbox style="mso-fit-shape-to-text:t" inset="0,0,0,0">
            <w:txbxContent>
              <w:p w:rsidR="00B66F3F" w:rsidRDefault="00B66F3F">
                <w:fldSimple w:instr=" PAGE \* MERGEFORMAT ">
                  <w:r w:rsidRPr="00664866">
                    <w:rPr>
                      <w:rStyle w:val="a1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3F" w:rsidRDefault="00B66F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290pt;margin-top:51.3pt;width:4.8pt;height:9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2MtQIAAKwFAAAOAAAAZHJzL2Uyb0RvYy54bWysVEtu2zAQ3RfoHQjuFX0iO5JgOUgsqyiQ&#10;foC0B6AlyiIqkQLJWEqLnqWn6KpAz+AjdUhZjpOgQNFWC2FIDt/Mm3mcxeXQNmhHpWKCp9g/8zCi&#10;vBAl49sUf/yQOxFGShNekkZwmuJ7qvDl8uWLRd8lNBC1aEoqEYBwlfRdimutu8R1VVHTlqgz0VEO&#10;h5WQLdGwlFu3lKQH9LZxA8+bu72QZSdFQZWC3Ww8xEuLX1W00O+qSlGNmhRDbtr+pf1vzN9dLkiy&#10;laSrWXFIg/xFFi1hHIIeoTKiCbqT7BlUywoplKj0WSFaV1QVK6jlAGx87wmb25p01HKB4qjuWCb1&#10;/2CLt7v3ErESeocRJy20aP9t/3P/Y/8d+aY6facScLrtwE0P12Iwnoap6m5E8UkhLlY14Vt6JaXo&#10;a0pKyM7edE+ujjjKgGz6N6KEMOROCws0VLI1gFAMBOjQpftjZ+igUQGbcy+ew0EBJ35wHgUzk5pL&#10;kuluJ5V+RUWLjJFiCX232GR3o/ToOrmYUFzkrGls7xv+aAMwxx2IDFfNmcnBtvJL7MXraB2FThjM&#10;107oZZlzla9CZ577F7PsPFutMv+rieuHSc3KknITZpKVH/5Z2w4CHwVxFJYSDSsNnElJye1m1Ui0&#10;IyDr3H6Hgpy4uY/TsPUCLk8o+UHoXQexk8+jCyfMw5kTX3iR4/nxNZQ8jMMsf0zphnH675RQn+J4&#10;Bn20dH7LzbPfc24kaZmGwdGwNsXR0YkkRoBrXtrWasKa0T4phUn/oRTQ7qnRVq5GoaNW9bAZDu8C&#10;wIyUN6K8B/1KAQIDLcLQA6MW8jNGPQyQFHOYcBg1rzm8ADNrJkNOxmYyCC/gYoo1RqO50uNMuusk&#10;29aAO72xK3glObMSfsgB8jcLGAmWyWF8mZlzurZeD0N2+QsAAP//AwBQSwMEFAAGAAgAAAAhAB7A&#10;BjHdAAAACwEAAA8AAABkcnMvZG93bnJldi54bWxMj0FPwzAMhe9I/IfISNxYskobpTSd0CQu3Bho&#10;Eres9ZqKxKmSrGv/PeYEN9vv6fl79W72TkwY0xBIw3qlQCC1oRuo1/D58fpQgkjZUGdcINSwYIJd&#10;c3tTm6oLV3rH6ZB7wSGUKqPB5jxWUqbWojdpFUYk1s4hepN5jb3sorlyuHeyUGorvRmIP1gz4t5i&#10;+324eA2P8zHgmHCPX+epjXZYSve2aH1/N788g8g45z8z/OIzOjTMdAoX6pJwGjal4i6ZBVVsQbBj&#10;Uz7xcOJLUaxBNrX836H5AQAA//8DAFBLAQItABQABgAIAAAAIQC2gziS/gAAAOEBAAATAAAAAAAA&#10;AAAAAAAAAAAAAABbQ29udGVudF9UeXBlc10ueG1sUEsBAi0AFAAGAAgAAAAhADj9If/WAAAAlAEA&#10;AAsAAAAAAAAAAAAAAAAALwEAAF9yZWxzLy5yZWxzUEsBAi0AFAAGAAgAAAAhACi1XYy1AgAArAUA&#10;AA4AAAAAAAAAAAAAAAAALgIAAGRycy9lMm9Eb2MueG1sUEsBAi0AFAAGAAgAAAAhAB7ABjHdAAAA&#10;CwEAAA8AAAAAAAAAAAAAAAAADwUAAGRycy9kb3ducmV2LnhtbFBLBQYAAAAABAAEAPMAAAAZBgAA&#10;AAA=&#10;" filled="f" stroked="f">
          <v:textbox style="mso-fit-shape-to-text:t" inset="0,0,0,0">
            <w:txbxContent>
              <w:p w:rsidR="00B66F3F" w:rsidRDefault="00B66F3F">
                <w:fldSimple w:instr=" PAGE \* MERGEFORMAT ">
                  <w:r w:rsidRPr="00664866">
                    <w:rPr>
                      <w:rStyle w:val="a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70A"/>
    <w:multiLevelType w:val="multilevel"/>
    <w:tmpl w:val="081434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521647A"/>
    <w:multiLevelType w:val="multilevel"/>
    <w:tmpl w:val="EC18E1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577"/>
    <w:rsid w:val="00244B22"/>
    <w:rsid w:val="002E7594"/>
    <w:rsid w:val="00351577"/>
    <w:rsid w:val="0050776E"/>
    <w:rsid w:val="00523505"/>
    <w:rsid w:val="005945B4"/>
    <w:rsid w:val="005A2909"/>
    <w:rsid w:val="005C624D"/>
    <w:rsid w:val="00664866"/>
    <w:rsid w:val="00775BBC"/>
    <w:rsid w:val="00784A7F"/>
    <w:rsid w:val="00844E0F"/>
    <w:rsid w:val="00AD7E3E"/>
    <w:rsid w:val="00B204D0"/>
    <w:rsid w:val="00B66F3F"/>
    <w:rsid w:val="00B76711"/>
    <w:rsid w:val="00C60F97"/>
    <w:rsid w:val="00D60A7B"/>
    <w:rsid w:val="00F16E2B"/>
    <w:rsid w:val="00FD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7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uiPriority w:val="99"/>
    <w:locked/>
    <w:rsid w:val="00351577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351577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a0">
    <w:name w:val="Колонтитул_"/>
    <w:basedOn w:val="DefaultParagraphFont"/>
    <w:uiPriority w:val="99"/>
    <w:rsid w:val="00351577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a1">
    <w:name w:val="Колонтитул"/>
    <w:basedOn w:val="a0"/>
    <w:uiPriority w:val="99"/>
    <w:rsid w:val="00351577"/>
    <w:rPr>
      <w:color w:val="000000"/>
      <w:w w:val="100"/>
      <w:position w:val="0"/>
      <w:lang w:val="ru-RU" w:eastAsia="ru-RU"/>
    </w:rPr>
  </w:style>
  <w:style w:type="character" w:customStyle="1" w:styleId="1">
    <w:name w:val="Основной текст1"/>
    <w:basedOn w:val="a"/>
    <w:uiPriority w:val="99"/>
    <w:rsid w:val="0035157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35157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"/>
    <w:uiPriority w:val="99"/>
    <w:rsid w:val="00351577"/>
    <w:rPr>
      <w:color w:val="000000"/>
      <w:spacing w:val="10"/>
      <w:w w:val="100"/>
      <w:position w:val="0"/>
      <w:sz w:val="24"/>
      <w:szCs w:val="24"/>
      <w:lang w:val="ru-RU" w:eastAsia="ru-RU"/>
    </w:rPr>
  </w:style>
  <w:style w:type="paragraph" w:customStyle="1" w:styleId="2">
    <w:name w:val="Основной текст2"/>
    <w:basedOn w:val="Normal"/>
    <w:link w:val="a"/>
    <w:uiPriority w:val="99"/>
    <w:rsid w:val="00351577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Normal"/>
    <w:link w:val="6"/>
    <w:uiPriority w:val="99"/>
    <w:rsid w:val="00351577"/>
    <w:pPr>
      <w:shd w:val="clear" w:color="auto" w:fill="FFFFFF"/>
      <w:spacing w:line="36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2"/>
      <w:szCs w:val="22"/>
      <w:lang w:eastAsia="en-US"/>
    </w:rPr>
  </w:style>
  <w:style w:type="paragraph" w:customStyle="1" w:styleId="70">
    <w:name w:val="Основной текст (7)"/>
    <w:basedOn w:val="Normal"/>
    <w:link w:val="7"/>
    <w:uiPriority w:val="99"/>
    <w:rsid w:val="00351577"/>
    <w:pPr>
      <w:shd w:val="clear" w:color="auto" w:fill="FFFFFF"/>
      <w:spacing w:before="600" w:after="6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6</Pages>
  <Words>1340</Words>
  <Characters>7642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Инцертов Николай Иванович</dc:creator>
  <cp:keywords/>
  <dc:description/>
  <cp:lastModifiedBy>olgtroch</cp:lastModifiedBy>
  <cp:revision>7</cp:revision>
  <dcterms:created xsi:type="dcterms:W3CDTF">2014-05-05T05:26:00Z</dcterms:created>
  <dcterms:modified xsi:type="dcterms:W3CDTF">2014-05-15T06:58:00Z</dcterms:modified>
</cp:coreProperties>
</file>